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>Публичная оферта на заключение Агентского договора по оказанию ОБУ «УМФЦ Липецкой области» услуги «Прием заявлений для подключения услуг связи» (далее – Оферта)</w:t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  <w:t xml:space="preserve"> </w:t>
      </w:r>
      <w:r>
        <w:rPr/>
        <w:t xml:space="preserve">г. Липецк                                                                                                    «30» июля 2025 г.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both"/>
        <w:rPr/>
      </w:pPr>
      <w:r>
        <w:rPr/>
        <w:tab/>
        <w:t xml:space="preserve">Настоящая Оферта представляет собой предложение ОБУ «УМФЦ Липецкой области» (далее – МФЦ) организациям, являющимся операторами связи, заключить Агентский договор (далее – Договор) на условиях, изложенных в настоящей оферте. Договор заключается на платной основе (Приложение № 2 к настоящей Оферте). </w:t>
      </w:r>
    </w:p>
    <w:p>
      <w:pPr>
        <w:pStyle w:val="Normal"/>
        <w:bidi w:val="0"/>
        <w:jc w:val="both"/>
        <w:rPr/>
      </w:pPr>
      <w:r>
        <w:rPr/>
        <w:tab/>
        <w:t>1. Оферта является бессрочной, вступает в силу со дня, следующего за днем размещения ее на официальном сайте МФЦ: https://umfc48.ru/, и действует до дня, следующего за днем размещения на официальном сайте МФЦ: https://umfc48.ru/, извещения об отмене Оферты.</w:t>
      </w:r>
    </w:p>
    <w:p>
      <w:pPr>
        <w:pStyle w:val="Normal"/>
        <w:bidi w:val="0"/>
        <w:jc w:val="both"/>
        <w:rPr/>
      </w:pPr>
      <w:r>
        <w:rPr/>
        <w:tab/>
        <w:t>2. МФЦ вправе отменить Оферту в любое время без объяснения причин.</w:t>
      </w:r>
    </w:p>
    <w:p>
      <w:pPr>
        <w:pStyle w:val="Normal"/>
        <w:bidi w:val="0"/>
        <w:jc w:val="both"/>
        <w:rPr/>
      </w:pPr>
      <w:r>
        <w:rPr/>
        <w:tab/>
        <w:t xml:space="preserve">3. Акцептовать Оферту (отозваться на Оферту) вправе любая организация - юридическое лицо или индивидуальный предприниматель, оказывающие услуги связи на основании соответствующей лицензии (в соответствии с Федеральным законом от 07.07.2003 N 126-ФЗ «О связи»). Акцепт настоящей Оферты осуществляется путем направления подписанного, скрепленного печатью Договора, подтверждающего о полном и безоговорочном согласии с условиями, изложенными в настоящей Оферте на почтовый адрес МФЦ: г. Липецк, ул. Имени Генерала Меркулова, д. 45А , или на электронный адрес МФЦ: </w:t>
      </w:r>
      <w:hyperlink r:id="rId2">
        <w:r>
          <w:rPr>
            <w:rStyle w:val="Hyperlink"/>
          </w:rPr>
          <w:t>umfc48@yandex.ru</w:t>
        </w:r>
      </w:hyperlink>
      <w:r>
        <w:rPr/>
        <w:t xml:space="preserve">. (Приложение № 1 к настоящей Оферте). </w:t>
      </w:r>
    </w:p>
    <w:p>
      <w:pPr>
        <w:pStyle w:val="Normal"/>
        <w:bidi w:val="0"/>
        <w:jc w:val="both"/>
        <w:rPr/>
      </w:pPr>
      <w:r>
        <w:rPr/>
        <w:tab/>
        <w:t xml:space="preserve">4. При заключении Договора существенными условиями будут являться: «Агент за вознаграждение по поручению, от своего имени, но за счет Принципала, в соответствии с Агентским договором, обязуется осуществлять услуги по предмету оферты. Размер агентского вознаграждения может быть определен в твердой денежной сумме, либо в процентном соотношении, но не менее, чем </w:t>
      </w:r>
      <w:r>
        <w:rPr>
          <w:shd w:fill="auto" w:val="clear"/>
        </w:rPr>
        <w:t>100 (сто) рублей с учетом НДС, з</w:t>
      </w:r>
      <w:r>
        <w:rPr/>
        <w:t xml:space="preserve">а каждого клиента, заключившего Договор на оказание услуг связи с Принципалом, включая возмещение расходов по исполнению поручения, </w:t>
      </w:r>
      <w:r>
        <w:rPr/>
        <w:t>без условия пополнения ли</w:t>
      </w:r>
      <w:r>
        <w:rPr/>
        <w:t>цевого счета.</w:t>
      </w:r>
      <w:r>
        <w:rPr/>
        <w:t xml:space="preserve"> Агентское вознаграждение выплачивается по окончание отчетного периода, равного 1 календарному месяцу.   Размер общей суммы Договора определяется по согласованию Сторонами Договора».</w:t>
      </w:r>
    </w:p>
    <w:p>
      <w:pPr>
        <w:pStyle w:val="Normal"/>
        <w:bidi w:val="0"/>
        <w:jc w:val="both"/>
        <w:rPr/>
      </w:pPr>
      <w:r>
        <w:rPr/>
        <w:tab/>
        <w:t>5. Условия Договора, не являющиеся существенными, а также порядок и размер оплаты вознаграждения, предварительно согласуются сторонами в Агентском договоре.</w:t>
      </w:r>
    </w:p>
    <w:p>
      <w:pPr>
        <w:pStyle w:val="Normal"/>
        <w:bidi w:val="0"/>
        <w:jc w:val="both"/>
        <w:rPr/>
      </w:pPr>
      <w:r>
        <w:rPr/>
        <w:tab/>
        <w:t>6. В соответствии со ст. 433 Гражданского кодекса Российской Федерации датой акцепта Оферты будет считаться дата получения ответа, с условиями Договора. Заключение Договора на бумажном носителе (подписание сторонами и скрепление печатями (при наличии) является обязательным условием настоящей Оферты. Моментом заключения Договора будет являться фактическая дата подписания Договора.</w:t>
      </w:r>
    </w:p>
    <w:p>
      <w:pPr>
        <w:pStyle w:val="Normal"/>
        <w:bidi w:val="0"/>
        <w:jc w:val="both"/>
        <w:rPr/>
      </w:pPr>
      <w:r>
        <w:rPr/>
        <w:tab/>
        <w:t>7. Минимальные условия, установленные в Оферте, являются обязательными для Заинтересованного лица и должны быть указаны в Договоре.</w:t>
      </w:r>
    </w:p>
    <w:p>
      <w:pPr>
        <w:pStyle w:val="Normal"/>
        <w:bidi w:val="0"/>
        <w:jc w:val="both"/>
        <w:rPr/>
      </w:pPr>
      <w:r>
        <w:rPr/>
        <w:tab/>
        <w:t>8. Любые изменения в Агентский договор вносятся путем подписания сторонами дополнительного соглашения.</w:t>
      </w:r>
    </w:p>
    <w:p>
      <w:pPr>
        <w:pStyle w:val="Normal"/>
        <w:bidi w:val="0"/>
        <w:jc w:val="both"/>
        <w:rPr/>
      </w:pPr>
      <w:r>
        <w:rPr/>
        <w:tab/>
        <w:t xml:space="preserve">9. Место фактического исполнения договора – г. Липецк, Липецкая область. </w:t>
      </w:r>
    </w:p>
    <w:p>
      <w:pPr>
        <w:pStyle w:val="Normal"/>
        <w:bidi w:val="0"/>
        <w:jc w:val="both"/>
        <w:rPr/>
      </w:pPr>
      <w:r>
        <w:rPr/>
        <w:tab/>
        <w:t xml:space="preserve">10. Реквизиты </w:t>
      </w:r>
      <w:r>
        <w:rPr>
          <w:rFonts w:eastAsia="Times New Roman" w:cs="Nimbus Roman" w:ascii="Nimbus Roman" w:hAnsi="Nimbus Roman"/>
          <w:sz w:val="24"/>
          <w:szCs w:val="24"/>
          <w:lang w:val="ru-RU"/>
        </w:rPr>
        <w:t xml:space="preserve">ОБУ «УМФЦ Липецкой области»: </w:t>
      </w:r>
    </w:p>
    <w:p>
      <w:pPr>
        <w:pStyle w:val="Standard"/>
        <w:spacing w:lineRule="auto" w:line="276"/>
        <w:rPr>
          <w:rFonts w:ascii="Nimbus Roman" w:hAnsi="Nimbus Roman" w:eastAsia="Times New Roman" w:cs="Nimbus Roman"/>
          <w:sz w:val="24"/>
          <w:szCs w:val="24"/>
          <w:lang w:val="ru-RU"/>
        </w:rPr>
      </w:pPr>
      <w:r>
        <w:rPr>
          <w:rFonts w:eastAsia="Times New Roman" w:cs="Nimbus Roman" w:ascii="Nimbus Roman" w:hAnsi="Nimbus Roman"/>
          <w:sz w:val="24"/>
          <w:szCs w:val="24"/>
          <w:lang w:val="ru-RU"/>
        </w:rPr>
        <w:t>398036 г. Липецк, ул. Им. Генерала Меркулова, д. 45А.</w:t>
      </w:r>
    </w:p>
    <w:p>
      <w:pPr>
        <w:pStyle w:val="Standard"/>
        <w:spacing w:lineRule="auto" w:line="276"/>
        <w:rPr/>
      </w:pPr>
      <w:r>
        <w:rPr/>
        <w:t>ИНН 4823057137</w:t>
      </w:r>
    </w:p>
    <w:p>
      <w:pPr>
        <w:pStyle w:val="Standard"/>
        <w:spacing w:lineRule="auto" w:line="276"/>
        <w:rPr>
          <w:rFonts w:ascii="Nimbus Roman" w:hAnsi="Nimbus Roman" w:eastAsia="Times New Roman" w:cs="Nimbus Roman"/>
          <w:sz w:val="24"/>
          <w:szCs w:val="24"/>
          <w:lang w:val="ru-RU"/>
        </w:rPr>
      </w:pPr>
      <w:r>
        <w:rPr>
          <w:rFonts w:eastAsia="Times New Roman" w:cs="Nimbus Roman" w:ascii="Nimbus Roman" w:hAnsi="Nimbus Roman"/>
          <w:sz w:val="24"/>
          <w:szCs w:val="24"/>
          <w:lang w:val="ru-RU"/>
        </w:rPr>
        <w:t>КПП 482401001</w:t>
      </w:r>
    </w:p>
    <w:p>
      <w:pPr>
        <w:pStyle w:val="Normal"/>
        <w:widowControl w:val="false"/>
        <w:bidi w:val="0"/>
        <w:spacing w:lineRule="auto" w:line="276" w:before="0" w:after="0"/>
        <w:jc w:val="left"/>
        <w:textAlignment w:val="baseline"/>
        <w:rPr>
          <w:rFonts w:ascii="Nimbus Roman" w:hAnsi="Nimbus Roman" w:eastAsia="Times New Roman" w:cs="Nimbus Roman"/>
          <w:kern w:val="2"/>
          <w:sz w:val="24"/>
          <w:szCs w:val="24"/>
        </w:rPr>
      </w:pPr>
      <w:r>
        <w:rPr>
          <w:rFonts w:eastAsia="Times New Roman" w:cs="Nimbus Roman" w:ascii="Nimbus Roman" w:hAnsi="Nimbus Roman"/>
          <w:kern w:val="2"/>
          <w:sz w:val="24"/>
          <w:szCs w:val="24"/>
        </w:rPr>
        <w:t>ОГРН 1134827002518</w:t>
      </w:r>
    </w:p>
    <w:p>
      <w:pPr>
        <w:pStyle w:val="Normal"/>
        <w:widowControl w:val="false"/>
        <w:bidi w:val="0"/>
        <w:spacing w:lineRule="auto" w:line="276" w:before="0" w:after="0"/>
        <w:jc w:val="left"/>
        <w:textAlignment w:val="baseline"/>
        <w:rPr/>
      </w:pPr>
      <w:r>
        <w:rPr>
          <w:rFonts w:eastAsia="Times New Roman" w:cs="Nimbus Roman" w:ascii="Nimbus Roman" w:hAnsi="Nimbus Roman"/>
          <w:kern w:val="2"/>
          <w:sz w:val="24"/>
          <w:szCs w:val="24"/>
        </w:rPr>
        <w:t>Министерство финансов Липецкой области (ОБУ «УМФЦ Липецкой области» л/с 20006000260)</w:t>
      </w:r>
    </w:p>
    <w:p>
      <w:pPr>
        <w:pStyle w:val="Normal"/>
        <w:widowControl w:val="false"/>
        <w:bidi w:val="0"/>
        <w:spacing w:lineRule="auto" w:line="276" w:before="0" w:after="0"/>
        <w:jc w:val="left"/>
        <w:textAlignment w:val="baseline"/>
        <w:rPr/>
      </w:pPr>
      <w:r>
        <w:rPr>
          <w:rFonts w:eastAsia="Times New Roman" w:cs="Nimbus Roman" w:ascii="Nimbus Roman" w:hAnsi="Nimbus Roman"/>
          <w:kern w:val="2"/>
          <w:sz w:val="24"/>
          <w:szCs w:val="24"/>
        </w:rPr>
        <w:t>Единый казначейский счет 40102810945370000039</w:t>
      </w:r>
    </w:p>
    <w:p>
      <w:pPr>
        <w:pStyle w:val="Normal"/>
        <w:widowControl w:val="false"/>
        <w:bidi w:val="0"/>
        <w:spacing w:lineRule="auto" w:line="276" w:before="0" w:after="0"/>
        <w:jc w:val="left"/>
        <w:textAlignment w:val="baseline"/>
        <w:rPr>
          <w:rFonts w:ascii="Nimbus Roman" w:hAnsi="Nimbus Roman" w:eastAsia="Times New Roman" w:cs="Nimbus Roman"/>
          <w:kern w:val="2"/>
          <w:sz w:val="24"/>
          <w:szCs w:val="24"/>
        </w:rPr>
      </w:pPr>
      <w:r>
        <w:rPr>
          <w:rFonts w:eastAsia="Times New Roman" w:cs="Nimbus Roman" w:ascii="Nimbus Roman" w:hAnsi="Nimbus Roman"/>
          <w:kern w:val="2"/>
          <w:sz w:val="24"/>
          <w:szCs w:val="24"/>
        </w:rPr>
        <w:t>Казначейский счет 03224643420000004600 Отделение Липецк Банка России (в Управлении Федерального казначейства по Липецкой области г. Липецк)</w:t>
      </w:r>
    </w:p>
    <w:p>
      <w:pPr>
        <w:pStyle w:val="Normal"/>
        <w:widowControl w:val="false"/>
        <w:bidi w:val="0"/>
        <w:spacing w:lineRule="auto" w:line="276" w:before="0" w:after="0"/>
        <w:jc w:val="left"/>
        <w:textAlignment w:val="baseline"/>
        <w:rPr>
          <w:rFonts w:ascii="Nimbus Roman" w:hAnsi="Nimbus Roman" w:eastAsia="Times New Roman" w:cs="Nimbus Roman"/>
          <w:kern w:val="2"/>
          <w:sz w:val="24"/>
          <w:szCs w:val="24"/>
        </w:rPr>
      </w:pPr>
      <w:r>
        <w:rPr>
          <w:rFonts w:eastAsia="Times New Roman" w:cs="Nimbus Roman" w:ascii="Nimbus Roman" w:hAnsi="Nimbus Roman"/>
          <w:kern w:val="2"/>
          <w:sz w:val="24"/>
          <w:szCs w:val="24"/>
        </w:rPr>
        <w:t>БИК банковского счета территориального органа Федерального казначейства 014206212</w:t>
      </w:r>
    </w:p>
    <w:p>
      <w:pPr>
        <w:pStyle w:val="Normal"/>
        <w:bidi w:val="0"/>
        <w:jc w:val="both"/>
        <w:rPr/>
      </w:pPr>
      <w:r>
        <w:rPr>
          <w:rFonts w:eastAsia="Times New Roman" w:cs="Nimbus Roman" w:ascii="Nimbus Roman" w:hAnsi="Nimbus Roman"/>
          <w:kern w:val="2"/>
          <w:sz w:val="24"/>
          <w:szCs w:val="24"/>
        </w:rPr>
        <w:t xml:space="preserve">Тел/факс: (4742) 388414.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Nimbus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empora LGC Uni" w:hAnsi="Tempora LGC Uni" w:eastAsia="WenQuanYi Micro Hei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empora LGC Uni" w:hAnsi="Tempora LGC Uni" w:eastAsia="WenQuanYi Micro Hei" w:cs="Lohit Devanagari"/>
      <w:color w:val="auto"/>
      <w:kern w:val="2"/>
      <w:sz w:val="24"/>
      <w:szCs w:val="24"/>
      <w:lang w:val="ru-RU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Standard">
    <w:name w:val="Standard"/>
    <w:qFormat/>
    <w:pPr>
      <w:widowControl w:val="false"/>
      <w:suppressAutoHyphens w:val="true"/>
      <w:overflowPunct w:val="false"/>
      <w:bidi w:val="0"/>
      <w:spacing w:lineRule="auto" w:line="259" w:before="0" w:after="0"/>
      <w:jc w:val="left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en-US" w:eastAsia="zh-CN" w:bidi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umfc48@yandex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135</TotalTime>
  <Application>LibreOffice/7.6.4.1$Linux_X86_64 LibreOffice_project/60$Build-1</Application>
  <AppVersion>15.0000</AppVersion>
  <Pages>2</Pages>
  <Words>454</Words>
  <Characters>3087</Characters>
  <CharactersWithSpaces>3642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2025-07-29T09:54:31Z</dcterms:created>
  <dc:creator>Надежда Сергеевна Курлова</dc:creator>
  <dc:description/>
  <dc:language>ru-RU</dc:language>
  <cp:lastModifiedBy>Надежда Сергеевна Курлова</cp:lastModifiedBy>
  <dcterms:modified xsi:type="dcterms:W3CDTF">2025-07-29T16:17:23Z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